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Tool: Key standards and guidelines </w:t>
      </w:r>
      <w:r w:rsidDel="00000000" w:rsidR="00000000" w:rsidRPr="00000000">
        <w:rPr>
          <w:rtl w:val="0"/>
        </w:rPr>
      </w:r>
    </w:p>
    <w:p w:rsidR="00000000" w:rsidDel="00000000" w:rsidP="00000000" w:rsidRDefault="00000000" w:rsidRPr="00000000" w14:paraId="00000002">
      <w:pPr>
        <w:spacing w:after="240" w:line="276" w:lineRule="auto"/>
        <w:rPr>
          <w:vertAlign w:val="baseline"/>
        </w:rPr>
      </w:pPr>
      <w:r w:rsidDel="00000000" w:rsidR="00000000" w:rsidRPr="00000000">
        <w:rPr>
          <w:vertAlign w:val="baseline"/>
          <w:rtl w:val="0"/>
        </w:rPr>
        <w:t xml:space="preserve">Facilitators planning and leading activities with and for adolescents should understand and uphold minimum standards for adolescents’ protection, education and human rights. Include sessions on the following standards in trainings for facilitators, and monitor and support facilitators in adhering to these global guidelines in their work with adolescents. </w:t>
      </w:r>
    </w:p>
    <w:p w:rsidR="00000000" w:rsidDel="00000000" w:rsidP="00000000" w:rsidRDefault="00000000" w:rsidRPr="00000000" w14:paraId="00000003">
      <w:pPr>
        <w:spacing w:after="240" w:line="276" w:lineRule="auto"/>
        <w:rPr>
          <w:b w:val="0"/>
          <w:color w:val="ff0000"/>
          <w:vertAlign w:val="baseline"/>
        </w:rPr>
      </w:pPr>
      <w:r w:rsidDel="00000000" w:rsidR="00000000" w:rsidRPr="00000000">
        <w:rPr>
          <w:b w:val="1"/>
          <w:color w:val="ff0000"/>
          <w:vertAlign w:val="baseline"/>
          <w:rtl w:val="0"/>
        </w:rPr>
        <w:t xml:space="preserve">Child protection </w:t>
      </w:r>
      <w:r w:rsidDel="00000000" w:rsidR="00000000" w:rsidRPr="00000000">
        <w:rPr>
          <w:rtl w:val="0"/>
        </w:rPr>
      </w:r>
    </w:p>
    <w:p w:rsidR="00000000" w:rsidDel="00000000" w:rsidP="00000000" w:rsidRDefault="00000000" w:rsidRPr="00000000" w14:paraId="00000004">
      <w:pPr>
        <w:spacing w:after="240" w:line="276" w:lineRule="auto"/>
        <w:rPr>
          <w:vertAlign w:val="baseline"/>
        </w:rPr>
      </w:pPr>
      <w:r w:rsidDel="00000000" w:rsidR="00000000" w:rsidRPr="00000000">
        <w:rPr>
          <w:b w:val="1"/>
          <w:vertAlign w:val="baseline"/>
          <w:rtl w:val="0"/>
        </w:rPr>
        <w:t xml:space="preserve">Minimum Standards for Child Protection in Humanitarian Action</w:t>
        <w:br w:type="textWrapping"/>
        <w:t xml:space="preserve">Child Protection Working Group (CPWG), 2012 </w:t>
        <w:br w:type="textWrapping"/>
      </w:r>
      <w:r w:rsidDel="00000000" w:rsidR="00000000" w:rsidRPr="00000000">
        <w:rPr>
          <w:vertAlign w:val="baseline"/>
          <w:rtl w:val="0"/>
        </w:rPr>
        <w:t xml:space="preserve">Provides minimum standards for child protection work in humanitarian settings </w:t>
      </w:r>
      <w:hyperlink r:id="rId6">
        <w:r w:rsidDel="00000000" w:rsidR="00000000" w:rsidRPr="00000000">
          <w:rPr>
            <w:color w:val="000000"/>
            <w:u w:val="none"/>
            <w:vertAlign w:val="baseline"/>
            <w:rtl w:val="0"/>
          </w:rPr>
          <w:t xml:space="preserve">http://www.unicef.org/iran/Minimum_standards_for_child_protection_in_humanitarian_action.pdf</w:t>
        </w:r>
      </w:hyperlink>
      <w:r w:rsidDel="00000000" w:rsidR="00000000" w:rsidRPr="00000000">
        <w:rPr>
          <w:vertAlign w:val="baseline"/>
          <w:rtl w:val="0"/>
        </w:rPr>
        <w:t xml:space="preserve"> </w:t>
      </w:r>
    </w:p>
    <w:p w:rsidR="00000000" w:rsidDel="00000000" w:rsidP="00000000" w:rsidRDefault="00000000" w:rsidRPr="00000000" w14:paraId="00000005">
      <w:pPr>
        <w:spacing w:after="240" w:line="276" w:lineRule="auto"/>
        <w:rPr>
          <w:b w:val="0"/>
          <w:color w:val="ff0000"/>
          <w:vertAlign w:val="baseline"/>
        </w:rPr>
      </w:pPr>
      <w:r w:rsidDel="00000000" w:rsidR="00000000" w:rsidRPr="00000000">
        <w:rPr>
          <w:b w:val="1"/>
          <w:color w:val="ff0000"/>
          <w:vertAlign w:val="baseline"/>
          <w:rtl w:val="0"/>
        </w:rPr>
        <w:t xml:space="preserve">Education</w:t>
      </w:r>
      <w:r w:rsidDel="00000000" w:rsidR="00000000" w:rsidRPr="00000000">
        <w:rPr>
          <w:rtl w:val="0"/>
        </w:rPr>
      </w:r>
    </w:p>
    <w:p w:rsidR="00000000" w:rsidDel="00000000" w:rsidP="00000000" w:rsidRDefault="00000000" w:rsidRPr="00000000" w14:paraId="00000006">
      <w:pPr>
        <w:spacing w:after="240" w:line="276" w:lineRule="auto"/>
        <w:rPr>
          <w:vertAlign w:val="baseline"/>
        </w:rPr>
      </w:pPr>
      <w:r w:rsidDel="00000000" w:rsidR="00000000" w:rsidRPr="00000000">
        <w:rPr>
          <w:b w:val="1"/>
          <w:vertAlign w:val="baseline"/>
          <w:rtl w:val="0"/>
        </w:rPr>
        <w:t xml:space="preserve">INEE Minimum Standards for Education: Preparedness, Response, Recovery Handbook</w:t>
      </w:r>
      <w:r w:rsidDel="00000000" w:rsidR="00000000" w:rsidRPr="00000000">
        <w:rPr>
          <w:color w:val="000000"/>
          <w:vertAlign w:val="baseline"/>
          <w:rtl w:val="0"/>
        </w:rPr>
        <w:t xml:space="preserve"> </w:t>
        <w:br w:type="textWrapping"/>
      </w:r>
      <w:r w:rsidDel="00000000" w:rsidR="00000000" w:rsidRPr="00000000">
        <w:rPr>
          <w:vertAlign w:val="baseline"/>
          <w:rtl w:val="0"/>
        </w:rPr>
        <w:t xml:space="preserve">Inter-Agency Network for Education in Emergencies (INEE)</w:t>
      </w:r>
      <w:r w:rsidDel="00000000" w:rsidR="00000000" w:rsidRPr="00000000">
        <w:rPr>
          <w:color w:val="000000"/>
          <w:vertAlign w:val="baseline"/>
          <w:rtl w:val="0"/>
        </w:rPr>
        <w:t xml:space="preserve">, 2010 </w:t>
        <w:br w:type="textWrapping"/>
      </w:r>
      <w:r w:rsidDel="00000000" w:rsidR="00000000" w:rsidRPr="00000000">
        <w:rPr>
          <w:vertAlign w:val="baseline"/>
          <w:rtl w:val="0"/>
        </w:rPr>
        <w:t xml:space="preserve">19 standards to enhance the quality of educational preparedness, response and recovery in humanitarian settings</w:t>
      </w:r>
    </w:p>
    <w:p w:rsidR="00000000" w:rsidDel="00000000" w:rsidP="00000000" w:rsidRDefault="00000000" w:rsidRPr="00000000" w14:paraId="00000007">
      <w:pPr>
        <w:spacing w:after="240" w:line="276" w:lineRule="auto"/>
        <w:rPr>
          <w:b w:val="0"/>
          <w:color w:val="ff0000"/>
          <w:vertAlign w:val="baseline"/>
        </w:rPr>
      </w:pPr>
      <w:bookmarkStart w:colFirst="0" w:colLast="0" w:name="_gjdgxs" w:id="0"/>
      <w:bookmarkEnd w:id="0"/>
      <w:r w:rsidDel="00000000" w:rsidR="00000000" w:rsidRPr="00000000">
        <w:rPr>
          <w:vertAlign w:val="baseline"/>
          <w:rtl w:val="0"/>
        </w:rPr>
        <w:t xml:space="preserve"> </w:t>
      </w:r>
      <w:hyperlink r:id="rId7">
        <w:r w:rsidDel="00000000" w:rsidR="00000000" w:rsidRPr="00000000">
          <w:rPr>
            <w:color w:val="000000"/>
            <w:u w:val="none"/>
            <w:vertAlign w:val="baseline"/>
            <w:rtl w:val="0"/>
          </w:rPr>
          <w:t xml:space="preserve">http://www.ineesite.org/en/minimum-standards</w:t>
        </w:r>
      </w:hyperlink>
      <w:r w:rsidDel="00000000" w:rsidR="00000000" w:rsidRPr="00000000">
        <w:rPr>
          <w:rtl w:val="0"/>
        </w:rPr>
      </w:r>
    </w:p>
    <w:p w:rsidR="00000000" w:rsidDel="00000000" w:rsidP="00000000" w:rsidRDefault="00000000" w:rsidRPr="00000000" w14:paraId="00000008">
      <w:pPr>
        <w:spacing w:after="240" w:line="276" w:lineRule="auto"/>
        <w:rPr>
          <w:b w:val="0"/>
          <w:color w:val="ff0000"/>
          <w:vertAlign w:val="baseline"/>
        </w:rPr>
      </w:pPr>
      <w:r w:rsidDel="00000000" w:rsidR="00000000" w:rsidRPr="00000000">
        <w:rPr>
          <w:b w:val="1"/>
          <w:color w:val="ff0000"/>
          <w:vertAlign w:val="baseline"/>
          <w:rtl w:val="0"/>
        </w:rPr>
        <w:t xml:space="preserve">Gender-Based violence</w:t>
      </w:r>
      <w:r w:rsidDel="00000000" w:rsidR="00000000" w:rsidRPr="00000000">
        <w:rPr>
          <w:rtl w:val="0"/>
        </w:rPr>
      </w:r>
    </w:p>
    <w:p w:rsidR="00000000" w:rsidDel="00000000" w:rsidP="00000000" w:rsidRDefault="00000000" w:rsidRPr="00000000" w14:paraId="00000009">
      <w:pPr>
        <w:spacing w:after="240" w:line="276" w:lineRule="auto"/>
        <w:rPr>
          <w:color w:val="000000"/>
          <w:vertAlign w:val="baseline"/>
        </w:rPr>
      </w:pPr>
      <w:r w:rsidDel="00000000" w:rsidR="00000000" w:rsidRPr="00000000">
        <w:rPr>
          <w:b w:val="1"/>
          <w:color w:val="000000"/>
          <w:vertAlign w:val="baseline"/>
          <w:rtl w:val="0"/>
        </w:rPr>
        <w:t xml:space="preserve">Guidelines for Integrating Gender-Based Violence Interventions in Humanitarian Action: Reducing risk, promoting resilience and aiding recovery</w:t>
        <w:br w:type="textWrapping"/>
      </w:r>
      <w:r w:rsidDel="00000000" w:rsidR="00000000" w:rsidRPr="00000000">
        <w:rPr>
          <w:b w:val="0"/>
          <w:color w:val="000000"/>
          <w:vertAlign w:val="baseline"/>
          <w:rtl w:val="0"/>
        </w:rPr>
        <w:t xml:space="preserve">Inter-Agency Standing Committee, 2015</w:t>
      </w:r>
      <w:r w:rsidDel="00000000" w:rsidR="00000000" w:rsidRPr="00000000">
        <w:rPr>
          <w:b w:val="1"/>
          <w:color w:val="000000"/>
          <w:vertAlign w:val="baseline"/>
          <w:rtl w:val="0"/>
        </w:rPr>
        <w:br w:type="textWrapping"/>
      </w:r>
      <w:r w:rsidDel="00000000" w:rsidR="00000000" w:rsidRPr="00000000">
        <w:rPr>
          <w:vertAlign w:val="baseline"/>
          <w:rtl w:val="0"/>
        </w:rPr>
        <w:t xml:space="preserve">Guidelines to assist humanitarian actors in humanitarian emergencies to coordinate, plan, implement, monitor and evaluate essential actions for the prevention and mitigation of gender-based violence (GBV) across sectors</w:t>
        <w:br w:type="textWrapping"/>
      </w:r>
      <w:r w:rsidDel="00000000" w:rsidR="00000000" w:rsidRPr="00000000">
        <w:rPr>
          <w:color w:val="000000"/>
          <w:vertAlign w:val="baseline"/>
          <w:rtl w:val="0"/>
        </w:rPr>
        <w:t xml:space="preserve">http://resourcecentre.savethechildren.se/sites/default/files/documents/2015-iasc-gender-based-violence-guidelines_lo-res.pdf</w:t>
      </w:r>
    </w:p>
    <w:p w:rsidR="00000000" w:rsidDel="00000000" w:rsidP="00000000" w:rsidRDefault="00000000" w:rsidRPr="00000000" w14:paraId="0000000A">
      <w:pPr>
        <w:spacing w:after="240" w:line="276" w:lineRule="auto"/>
        <w:rPr>
          <w:b w:val="0"/>
          <w:color w:val="ff0000"/>
          <w:vertAlign w:val="baseline"/>
        </w:rPr>
      </w:pPr>
      <w:r w:rsidDel="00000000" w:rsidR="00000000" w:rsidRPr="00000000">
        <w:rPr>
          <w:b w:val="1"/>
          <w:color w:val="ff0000"/>
          <w:vertAlign w:val="baseline"/>
          <w:rtl w:val="0"/>
        </w:rPr>
        <w:t xml:space="preserve">Humanitarian response</w:t>
      </w:r>
      <w:r w:rsidDel="00000000" w:rsidR="00000000" w:rsidRPr="00000000">
        <w:rPr>
          <w:rtl w:val="0"/>
        </w:rPr>
      </w:r>
    </w:p>
    <w:p w:rsidR="00000000" w:rsidDel="00000000" w:rsidP="00000000" w:rsidRDefault="00000000" w:rsidRPr="00000000" w14:paraId="0000000B">
      <w:pPr>
        <w:spacing w:after="240" w:line="276" w:lineRule="auto"/>
        <w:rPr>
          <w:b w:val="0"/>
          <w:vertAlign w:val="baseline"/>
        </w:rPr>
      </w:pPr>
      <w:r w:rsidDel="00000000" w:rsidR="00000000" w:rsidRPr="00000000">
        <w:rPr>
          <w:b w:val="1"/>
          <w:vertAlign w:val="baseline"/>
          <w:rtl w:val="0"/>
        </w:rPr>
        <w:t xml:space="preserve">The Sphere Handbook: Humanitarian Charter and Minimum Standards in Humanitarian Response</w:t>
        <w:br w:type="textWrapping"/>
      </w:r>
      <w:r w:rsidDel="00000000" w:rsidR="00000000" w:rsidRPr="00000000">
        <w:rPr>
          <w:vertAlign w:val="baseline"/>
          <w:rtl w:val="0"/>
        </w:rPr>
        <w:t xml:space="preserve">Sphere Project, 2011</w:t>
        <w:br w:type="textWrapping"/>
        <w:t xml:space="preserve">Minimum standards, principles and best practice across humanitarian response sectors</w:t>
        <w:br w:type="textWrapping"/>
        <w:t xml:space="preserve">http://www.sphereproject.org/handbook/</w:t>
      </w:r>
      <w:r w:rsidDel="00000000" w:rsidR="00000000" w:rsidRPr="00000000">
        <w:rPr>
          <w:rtl w:val="0"/>
        </w:rPr>
      </w:r>
    </w:p>
    <w:p w:rsidR="00000000" w:rsidDel="00000000" w:rsidP="00000000" w:rsidRDefault="00000000" w:rsidRPr="00000000" w14:paraId="0000000C">
      <w:pPr>
        <w:spacing w:after="240" w:line="276" w:lineRule="auto"/>
        <w:rPr>
          <w:b w:val="0"/>
          <w:color w:val="ff0000"/>
          <w:vertAlign w:val="baseline"/>
        </w:rPr>
      </w:pPr>
      <w:r w:rsidDel="00000000" w:rsidR="00000000" w:rsidRPr="00000000">
        <w:rPr>
          <w:b w:val="1"/>
          <w:color w:val="ff0000"/>
          <w:vertAlign w:val="baseline"/>
          <w:rtl w:val="0"/>
        </w:rPr>
        <w:t xml:space="preserve">Psychosocial support</w:t>
      </w:r>
      <w:r w:rsidDel="00000000" w:rsidR="00000000" w:rsidRPr="00000000">
        <w:rPr>
          <w:rtl w:val="0"/>
        </w:rPr>
      </w:r>
    </w:p>
    <w:p w:rsidR="00000000" w:rsidDel="00000000" w:rsidP="00000000" w:rsidRDefault="00000000" w:rsidRPr="00000000" w14:paraId="0000000D">
      <w:pPr>
        <w:spacing w:after="240" w:line="276" w:lineRule="auto"/>
        <w:rPr>
          <w:vertAlign w:val="baseline"/>
        </w:rPr>
      </w:pPr>
      <w:r w:rsidDel="00000000" w:rsidR="00000000" w:rsidRPr="00000000">
        <w:rPr>
          <w:b w:val="1"/>
          <w:vertAlign w:val="baseline"/>
          <w:rtl w:val="0"/>
        </w:rPr>
        <w:t xml:space="preserve">Inter-Agency Standing Committee Guidelines on Mental Health and Psychosocial Support in Emergency Settings</w:t>
      </w:r>
      <w:r w:rsidDel="00000000" w:rsidR="00000000" w:rsidRPr="00000000">
        <w:rPr>
          <w:vertAlign w:val="baseline"/>
          <w:rtl w:val="0"/>
        </w:rPr>
        <w:br w:type="textWrapping"/>
        <w:t xml:space="preserve">Inter-Agency Standing Committee, 2007 </w:t>
        <w:br w:type="textWrapping"/>
        <w:t xml:space="preserve">Guidelines to enable humanitarian actors to plan, establish and coordinate a set of minimum multi-sectoral responses to protect and improve people’s mental health and psychosocial wellbeing in emergencies</w:t>
        <w:br w:type="textWrapping"/>
      </w:r>
      <w:hyperlink r:id="rId8">
        <w:r w:rsidDel="00000000" w:rsidR="00000000" w:rsidRPr="00000000">
          <w:rPr>
            <w:color w:val="000000"/>
            <w:u w:val="none"/>
            <w:vertAlign w:val="baseline"/>
            <w:rtl w:val="0"/>
          </w:rPr>
          <w:t xml:space="preserve">http://www.who.int/mental_health/emergencies/guidelines_iasc_mental_health_psychosocial_june_2007.pdf</w:t>
        </w:r>
      </w:hyperlink>
      <w:r w:rsidDel="00000000" w:rsidR="00000000" w:rsidRPr="00000000">
        <w:rPr>
          <w:rtl w:val="0"/>
        </w:rPr>
      </w:r>
    </w:p>
    <w:p w:rsidR="00000000" w:rsidDel="00000000" w:rsidP="00000000" w:rsidRDefault="00000000" w:rsidRPr="00000000" w14:paraId="0000000E">
      <w:pPr>
        <w:spacing w:after="240" w:line="276" w:lineRule="auto"/>
        <w:rPr>
          <w:vertAlign w:val="baseline"/>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nicef.org/iran/Minimum_standards_for_child_protection_in_humanitarian_action.pdf" TargetMode="External"/><Relationship Id="rId7" Type="http://schemas.openxmlformats.org/officeDocument/2006/relationships/hyperlink" Target="http://www.ineesite.org/en/minimum-standards" TargetMode="External"/><Relationship Id="rId8" Type="http://schemas.openxmlformats.org/officeDocument/2006/relationships/hyperlink" Target="http://www.who.int/mental_health/emergencies/guidelines_iasc_mental_health_psychosocial_june_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